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C6DA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C6DAA" w:rsidRDefault="0062746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C6DAA" w:rsidRDefault="0062746B">
            <w:pPr>
              <w:spacing w:after="0" w:line="240" w:lineRule="auto"/>
            </w:pPr>
            <w:r>
              <w:t>17388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C6DAA" w:rsidRDefault="006274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C6DAA" w:rsidRDefault="0062746B">
            <w:pPr>
              <w:spacing w:after="0" w:line="240" w:lineRule="auto"/>
            </w:pPr>
            <w:r>
              <w:t>SREDNJA ŠKOLA  PAVLA RITTERA VITEZOVIĆA U SENJU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C6DAA" w:rsidRDefault="006274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C6DAA" w:rsidRDefault="0062746B">
            <w:pPr>
              <w:spacing w:after="0" w:line="240" w:lineRule="auto"/>
            </w:pPr>
            <w:r>
              <w:t>31</w:t>
            </w:r>
          </w:p>
        </w:tc>
      </w:tr>
    </w:tbl>
    <w:p w:rsidR="00BC6DAA" w:rsidRDefault="0062746B">
      <w:r>
        <w:br/>
      </w:r>
    </w:p>
    <w:p w:rsidR="00BC6DAA" w:rsidRDefault="006274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C6DAA" w:rsidRDefault="006274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C6DAA" w:rsidRDefault="0062746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1.009.981,41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1.057.749,75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1.027.797,45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1.103.983,35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BC6D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17.816,04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46.233,60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259,5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481,3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BC6D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481,3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</w:t>
            </w:r>
            <w:r>
              <w:rPr>
                <w:sz w:val="18"/>
              </w:rPr>
              <w:t>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BC6D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BC6D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18.622,29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50.114,40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269,1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Ukupni rashodi u 2025. godini su veći za 46.233,60 € od prihoda. Podmirenje većeg dijela rashoda dogodit će se uplatama u siječnju 2026.</w:t>
      </w:r>
    </w:p>
    <w:p w:rsidR="00BC6DAA" w:rsidRDefault="0062746B">
      <w:r>
        <w:t>Nabavili smo opreme u iznosu od 3.880,80 €.</w:t>
      </w:r>
    </w:p>
    <w:p w:rsidR="00BC6DAA" w:rsidRDefault="0062746B">
      <w:r>
        <w:t>Ukupni manjak iznosi 50.114,40 €.</w:t>
      </w:r>
    </w:p>
    <w:p w:rsidR="00BC6DAA" w:rsidRDefault="0062746B">
      <w:r>
        <w:lastRenderedPageBreak/>
        <w:br/>
      </w:r>
    </w:p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1.009.981,41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1.057.749,75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Šifra 6 prikazuje prihode koje je Škola ostvarila u 2025. godini, a iznose 1.057.749,75 € (indeks 104,7).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Prošle godine nismo imali sufinanciranje iz Gradskog proračuna, a ove godine smo dobili iznos od 9.000,00 € za pomoć u organizaciji 300. obljetnice od osnutka naše ustanove.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9.607,63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18.415,77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191,7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Značajan skok indeksa u odnosu na prethodnu godinu dogodio se zbog uplate osiguranja za popravak krova i uplate agencije za pokrivanje putnih naloga pratnjama na školskim izletima.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4357,3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Ove godine smo skupljali donacije za održavanje maturalne večeri i organizaciju 300. obljetnice Škole.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417,2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U ovom razdoblju smo imali značajna ulaganja u tekuće i investicijsko održavanje: popravljali smo krov, mijenjali sigurnosne brave i videonadzor, radili procjenu rizika vodoopskrbne mreže kao i razna dodatna ispitivanja i ateste.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162,5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U 2024. godini najveći dio sredstava odnosio se na ugovor za tehničku podršku. U 2025. godini smo nastavili s tim ugovorom, ali još smo dodatno organizirali Književnu večer pa smo imali autorske honorare.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1.669,13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9.727,64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582,8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Najveći skok ostalih usluga je zbog organiziranja obljetnice i pokrivanja troškova maturalne večeri, skupljenih iz donacija, kao i tiskanja promotivnih materijala.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214,9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U 2025. je plaćeno više rata osiguranja nego u promatranom razdoblju 2024. godine.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28.771,40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19.027,05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66,1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Prošle godine smo imali veći broj učenika - putnika, a i krenuo je projekt sufinanciran sredstvima EU gdje je omogućena niska cijena prijevoza učenika na razini županije i okolice.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</w:t>
            </w:r>
            <w:r>
              <w:rPr>
                <w:b/>
                <w:sz w:val="18"/>
              </w:rPr>
              <w:t>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BC6D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712.200,20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733.371,49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Imovina škole iznosi 733.371,49 €. Stanje nefinancijske imovine iznosi 625.515,81 €, a financijska imovina 107.855,68 €. 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21.831,95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Na kraju 2025. godine zatvorili smo vlastiti račun u banci i prebacili se u sustav Riznice kod osnivača, Ličko-senjske županije. 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8.029,78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9,2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lastRenderedPageBreak/>
        <w:t>Na ovom kontu su prikazana potraživanja za naknade koje se refundiraju. U ovoj godini smo dobili povrat za većinu naknada</w:t>
      </w:r>
      <w:bookmarkStart w:id="0" w:name="_GoBack"/>
      <w:bookmarkEnd w:id="0"/>
      <w:r>
        <w:t>, zato je indeks znatno niži nego u prethodnom razdoblju.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72.683,72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Navedeno potraživanje se odnosi na plaću za prosinac 2025. Bit će zatvoreno uplatom plaće u siječnju 2026. godine.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</w:t>
            </w:r>
            <w:r>
              <w:rPr>
                <w:sz w:val="18"/>
              </w:rPr>
              <w:t xml:space="preserve">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3758,6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Iznos od 249,57 € je iznos nenaplaćenih izlaznih računa za najam dvorane, dok je prošle godine ostao samo jedan nenaplaćeni račun pa je zato indeks naglo skočio.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34.183,01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Zatvaranjem vlastitog računa u banci, sva sredstva smo prebacili na račun zajedničke Riznice. Ovo je financijsko stanje na dan 31. prosinca 2025. godine.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32,0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Većina obveza za materijalne rashode je podmirena u 2025. godini, manji dio je prebačen za podmirenje u siječnju 2026.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-38.857,01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-366,6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U prethodnoj godini smo poslovali s viškom poslovanja, ove godine smo imali više rashoda i izdataka nego prihoda i primitaka pa rezultat na kraju izvještajnog razdoblja iznosi -38.857,01 €. 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</w:t>
            </w:r>
            <w:r>
              <w:rPr>
                <w:b/>
                <w:sz w:val="18"/>
              </w:rPr>
              <w:t>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72.683,72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Navedeni iznos se odnosi na potraživanja od Ministarstva znanosti, obrazovanja, sporta i mladih za isplatu plaće i materijalnih prava za prosinac 2025. godine. 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3758,6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Iznos od 249,57 € se odnosi na obračunate, a nenaplaćene vlastite prihode.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Srednjoškolsko obrazovanje (šifre 0921+0922)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1.028.603,70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1.107.864,15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Osnovna djelatnost škole je srednjoškolsko obrazovanje. Uz obrazovanje učenika, škola obavlja djelatnost iznajmljivanja dvorane i učionica klubovima i udrugama.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C6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6DA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BC6D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73.779,40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6DAA" w:rsidRDefault="006274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6DAA" w:rsidRDefault="00BC6DAA">
      <w:pPr>
        <w:spacing w:after="0"/>
      </w:pPr>
    </w:p>
    <w:p w:rsidR="00BC6DAA" w:rsidRDefault="0062746B">
      <w:r>
        <w:t>Povećanje obveza u izvještajnom razdoblju iznosi 1.113.104,00 €, a podmirene obveze iznose 1.123.647,84 €.</w:t>
      </w:r>
    </w:p>
    <w:p w:rsidR="00BC6DAA" w:rsidRDefault="0062746B">
      <w:r>
        <w:t>Nedospjele obveze na kraju izvještajnog razdoblja su 73.779,40 €. Najveći dio obveza odnosi se na plaće zaposlenika i račune za prosinac 2025., koji će biti podmireni u siječnju 2026. godine.</w:t>
      </w:r>
    </w:p>
    <w:p w:rsidR="00BC6DAA" w:rsidRDefault="00BC6DAA"/>
    <w:p w:rsidR="00BC6DAA" w:rsidRDefault="0062746B">
      <w:pPr>
        <w:keepNext/>
        <w:spacing w:line="240" w:lineRule="auto"/>
        <w:jc w:val="center"/>
      </w:pPr>
      <w:r>
        <w:rPr>
          <w:sz w:val="28"/>
        </w:rPr>
        <w:t>Bilješka 23.</w:t>
      </w:r>
    </w:p>
    <w:p w:rsidR="00BC6DAA" w:rsidRDefault="0062746B">
      <w:pPr>
        <w:spacing w:line="240" w:lineRule="auto"/>
        <w:jc w:val="both"/>
      </w:pPr>
      <w:r>
        <w:rPr>
          <w:b/>
        </w:rPr>
        <w:t>EU izvještaj</w:t>
      </w:r>
    </w:p>
    <w:p w:rsidR="00BC6DAA" w:rsidRDefault="0062746B">
      <w:r>
        <w:t>Prihodi poslovanja za financiranje As</w:t>
      </w:r>
      <w:r>
        <w:t>istenata u nastavi su malo manji nego u 2024. godini jer se od 1.9.2025. smanjio broj djelatnika.</w:t>
      </w:r>
    </w:p>
    <w:p w:rsidR="00BC6DAA" w:rsidRDefault="0062746B">
      <w:r>
        <w:t> </w:t>
      </w:r>
    </w:p>
    <w:p w:rsidR="00BC6DAA" w:rsidRDefault="00BC6DAA"/>
    <w:sectPr w:rsidR="00BC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6DAA"/>
    <w:rsid w:val="0062746B"/>
    <w:rsid w:val="00B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2026-02-06T12:02:00Z</dcterms:created>
  <dcterms:modified xsi:type="dcterms:W3CDTF">2026-02-06T12:02:00Z</dcterms:modified>
</cp:coreProperties>
</file>